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pacing w:val="20"/>
          <w:sz w:val="84"/>
          <w:szCs w:val="84"/>
        </w:rPr>
      </w:pPr>
      <w:bookmarkStart w:id="0" w:name="_GoBack"/>
      <w:bookmarkEnd w:id="0"/>
      <w:r>
        <w:rPr>
          <w:rFonts w:hint="eastAsia"/>
          <w:b/>
          <w:bCs/>
          <w:spacing w:val="20"/>
          <w:sz w:val="84"/>
          <w:szCs w:val="84"/>
        </w:rPr>
        <w:t>使用说明书</w:t>
      </w:r>
    </w:p>
    <w:p>
      <w:pPr>
        <w:jc w:val="center"/>
        <w:rPr>
          <w:b/>
          <w:bCs/>
          <w:spacing w:val="20"/>
          <w:sz w:val="84"/>
          <w:szCs w:val="84"/>
        </w:rPr>
      </w:pPr>
    </w:p>
    <w:p>
      <w:pPr>
        <w:jc w:val="center"/>
        <w:rPr>
          <w:b/>
          <w:bCs/>
          <w:spacing w:val="20"/>
          <w:sz w:val="84"/>
          <w:szCs w:val="84"/>
        </w:rPr>
      </w:pPr>
      <w:r>
        <w:rPr>
          <w:rFonts w:hint="eastAsia"/>
          <w:b/>
          <w:bCs/>
          <w:spacing w:val="20"/>
          <w:sz w:val="84"/>
          <w:szCs w:val="84"/>
        </w:rPr>
        <w:drawing>
          <wp:inline distT="0" distB="0" distL="114300" distR="114300">
            <wp:extent cx="1285875" cy="1286510"/>
            <wp:effectExtent l="0" t="0" r="9525" b="8890"/>
            <wp:docPr id="1" name="图片 1" descr="F:\文件\工作\公司资料\公司logo\HY-LOGO200X200.jpgHY-LOGO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文件\工作\公司资料\公司logo\HY-LOGO200X200.jpgHY-LOGO200X200"/>
                    <pic:cNvPicPr>
                      <a:picLocks noChangeAspect="1"/>
                    </pic:cNvPicPr>
                  </pic:nvPicPr>
                  <pic:blipFill>
                    <a:blip r:embed="rId6"/>
                    <a:srcRect/>
                    <a:stretch>
                      <a:fillRect/>
                    </a:stretch>
                  </pic:blipFill>
                  <pic:spPr>
                    <a:xfrm>
                      <a:off x="0" y="0"/>
                      <a:ext cx="1285875" cy="1286510"/>
                    </a:xfrm>
                    <a:prstGeom prst="rect">
                      <a:avLst/>
                    </a:prstGeom>
                  </pic:spPr>
                </pic:pic>
              </a:graphicData>
            </a:graphic>
          </wp:inline>
        </w:drawing>
      </w:r>
    </w:p>
    <w:p>
      <w:pPr>
        <w:jc w:val="center"/>
        <w:rPr>
          <w:sz w:val="44"/>
          <w:szCs w:val="44"/>
        </w:rPr>
      </w:pPr>
    </w:p>
    <w:p>
      <w:pPr>
        <w:jc w:val="center"/>
        <w:rPr>
          <w:sz w:val="44"/>
          <w:szCs w:val="44"/>
        </w:rPr>
      </w:pPr>
    </w:p>
    <w:p>
      <w:pPr>
        <w:jc w:val="center"/>
        <w:rPr>
          <w:sz w:val="52"/>
          <w:szCs w:val="52"/>
        </w:rPr>
      </w:pPr>
      <w:r>
        <w:rPr>
          <w:rFonts w:hint="eastAsia"/>
          <w:sz w:val="52"/>
          <w:szCs w:val="52"/>
        </w:rPr>
        <w:t>SPL系列(0.8Mpa)</w:t>
      </w:r>
    </w:p>
    <w:p>
      <w:pPr>
        <w:jc w:val="center"/>
        <w:rPr>
          <w:sz w:val="52"/>
          <w:szCs w:val="52"/>
        </w:rPr>
      </w:pPr>
    </w:p>
    <w:p>
      <w:pPr>
        <w:jc w:val="center"/>
        <w:rPr>
          <w:sz w:val="52"/>
          <w:szCs w:val="52"/>
        </w:rPr>
      </w:pPr>
      <w:r>
        <w:rPr>
          <w:rFonts w:hint="eastAsia"/>
          <w:sz w:val="52"/>
          <w:szCs w:val="52"/>
        </w:rPr>
        <w:t>网片式油滤器</w:t>
      </w:r>
    </w:p>
    <w:p>
      <w:pPr>
        <w:jc w:val="center"/>
        <w:rPr>
          <w:sz w:val="52"/>
          <w:szCs w:val="52"/>
        </w:rPr>
      </w:pPr>
    </w:p>
    <w:p>
      <w:pPr>
        <w:jc w:val="center"/>
        <w:rPr>
          <w:sz w:val="52"/>
          <w:szCs w:val="52"/>
        </w:rPr>
      </w:pPr>
      <w:r>
        <w:rPr>
          <w:rFonts w:hint="eastAsia"/>
          <w:sz w:val="52"/>
          <w:szCs w:val="52"/>
          <w:lang w:eastAsia="zh-CN"/>
        </w:rPr>
        <w:t>新乡华豫</w:t>
      </w:r>
      <w:r>
        <w:rPr>
          <w:rFonts w:hint="eastAsia"/>
          <w:sz w:val="52"/>
          <w:szCs w:val="52"/>
        </w:rPr>
        <w:t>滤器有限公司</w:t>
      </w:r>
    </w:p>
    <w:p>
      <w:pPr>
        <w:jc w:val="center"/>
        <w:rPr>
          <w:sz w:val="52"/>
          <w:szCs w:val="52"/>
        </w:rPr>
      </w:pPr>
    </w:p>
    <w:p>
      <w:pPr>
        <w:jc w:val="center"/>
        <w:rPr>
          <w:sz w:val="52"/>
          <w:szCs w:val="52"/>
        </w:rPr>
      </w:pPr>
    </w:p>
    <w:p>
      <w:pPr>
        <w:widowControl/>
        <w:spacing w:before="100" w:beforeAutospacing="1" w:after="100" w:afterAutospacing="1"/>
        <w:rPr>
          <w:rFonts w:hint="eastAsia" w:ascii="Verdana" w:hAnsi="Verdana" w:cs="宋体"/>
          <w:b/>
          <w:bCs/>
          <w:color w:val="000000"/>
          <w:kern w:val="0"/>
          <w:sz w:val="32"/>
          <w:szCs w:val="32"/>
        </w:rPr>
      </w:pPr>
    </w:p>
    <w:p>
      <w:pPr>
        <w:widowControl/>
        <w:spacing w:before="100" w:beforeAutospacing="1" w:after="100" w:afterAutospacing="1"/>
        <w:jc w:val="center"/>
        <w:rPr>
          <w:rFonts w:ascii="Verdana" w:hAnsi="Verdana" w:cs="宋体"/>
          <w:b/>
          <w:bCs/>
          <w:color w:val="000000"/>
          <w:kern w:val="0"/>
          <w:sz w:val="32"/>
          <w:szCs w:val="32"/>
        </w:rPr>
      </w:pPr>
      <w:r>
        <w:rPr>
          <w:rFonts w:ascii="Verdana" w:hAnsi="Verdana" w:cs="宋体"/>
          <w:b/>
          <w:bCs/>
          <w:color w:val="000000"/>
          <w:kern w:val="0"/>
          <w:sz w:val="32"/>
          <w:szCs w:val="32"/>
        </w:rPr>
        <w:t>网片式油滤器（SPL</w:t>
      </w:r>
      <w:r>
        <w:rPr>
          <w:rFonts w:hint="eastAsia" w:ascii="Verdana" w:hAnsi="Verdana" w:cs="宋体"/>
          <w:b/>
          <w:bCs/>
          <w:color w:val="000000"/>
          <w:kern w:val="0"/>
          <w:sz w:val="32"/>
          <w:szCs w:val="32"/>
        </w:rPr>
        <w:t>型，</w:t>
      </w:r>
      <w:r>
        <w:rPr>
          <w:rFonts w:ascii="Verdana" w:hAnsi="Verdana" w:cs="宋体"/>
          <w:b/>
          <w:bCs/>
          <w:color w:val="000000"/>
          <w:kern w:val="0"/>
          <w:sz w:val="32"/>
          <w:szCs w:val="32"/>
        </w:rPr>
        <w:t>GB4733-84）</w:t>
      </w:r>
    </w:p>
    <w:p>
      <w:pPr>
        <w:widowControl/>
        <w:numPr>
          <w:ilvl w:val="0"/>
          <w:numId w:val="1"/>
        </w:numPr>
        <w:spacing w:before="100" w:beforeAutospacing="1" w:after="100" w:afterAutospacing="1"/>
        <w:rPr>
          <w:rFonts w:ascii="宋体" w:hAnsi="宋体" w:cs="宋体"/>
          <w:color w:val="000000"/>
          <w:kern w:val="0"/>
          <w:sz w:val="24"/>
        </w:rPr>
      </w:pPr>
      <w:r>
        <w:rPr>
          <w:rFonts w:ascii="Verdana" w:hAnsi="Verdana" w:cs="宋体"/>
          <w:b/>
          <w:bCs/>
          <w:color w:val="000000"/>
          <w:kern w:val="0"/>
          <w:sz w:val="28"/>
          <w:szCs w:val="28"/>
        </w:rPr>
        <w:t>概述</w:t>
      </w:r>
      <w:r>
        <w:rPr>
          <w:rFonts w:ascii="Verdana" w:hAnsi="Verdana" w:cs="宋体"/>
          <w:color w:val="000000"/>
          <w:kern w:val="0"/>
          <w:sz w:val="24"/>
        </w:rPr>
        <w:br w:type="textWrapping"/>
      </w:r>
      <w:r>
        <w:rPr>
          <w:rFonts w:ascii="Verdana" w:hAnsi="Verdana" w:cs="宋体"/>
          <w:color w:val="000000"/>
          <w:kern w:val="0"/>
          <w:sz w:val="24"/>
        </w:rPr>
        <w:t>SPL、DPL型网片式油滤器适用于各种型号的稀油润滑装置的过滤以提高油的清洁度，应用于石油、电力、化工、冶金、建材、轻工等行业。</w:t>
      </w:r>
      <w:r>
        <w:rPr>
          <w:rFonts w:ascii="Verdana" w:hAnsi="Verdana" w:cs="宋体"/>
          <w:color w:val="000000"/>
          <w:kern w:val="0"/>
          <w:sz w:val="24"/>
        </w:rPr>
        <w:br w:type="textWrapping"/>
      </w:r>
      <w:r>
        <w:rPr>
          <w:rFonts w:ascii="Verdana" w:hAnsi="Verdana" w:cs="宋体"/>
          <w:color w:val="000000"/>
          <w:kern w:val="0"/>
          <w:sz w:val="24"/>
        </w:rPr>
        <w:t>它分为SPL双筒系列和DPL单筒系列，油滤器运行可靠、维修方便，不需要其他动力源，过滤元件为金属丝网制成的滤片，具有强度高、通油能力大、过滤可靠、便于清洗等特点，SPL双筒系列能在主机运行过程中实现不停机切换和清洗。</w:t>
      </w:r>
    </w:p>
    <w:p>
      <w:pPr>
        <w:widowControl/>
        <w:numPr>
          <w:ilvl w:val="0"/>
          <w:numId w:val="2"/>
        </w:numPr>
        <w:rPr>
          <w:rFonts w:ascii="Verdana" w:hAnsi="Verdana" w:cs="宋体"/>
          <w:color w:val="000000"/>
          <w:kern w:val="0"/>
          <w:sz w:val="24"/>
        </w:rPr>
      </w:pPr>
      <w:r>
        <w:rPr>
          <w:rFonts w:ascii="Verdana" w:hAnsi="Verdana" w:cs="宋体"/>
          <w:color w:val="000000"/>
          <w:kern w:val="0"/>
          <w:sz w:val="24"/>
        </w:rPr>
        <w:t>最高工作温度95</w:t>
      </w:r>
      <w:r>
        <w:rPr>
          <w:rFonts w:hint="eastAsia" w:ascii="宋体" w:hAnsi="宋体" w:cs="宋体"/>
          <w:color w:val="000000"/>
          <w:kern w:val="0"/>
          <w:sz w:val="24"/>
        </w:rPr>
        <w:t>℃</w:t>
      </w:r>
      <w:r>
        <w:rPr>
          <w:rFonts w:ascii="Verdana" w:hAnsi="Verdana" w:cs="宋体"/>
          <w:color w:val="000000"/>
          <w:kern w:val="0"/>
          <w:sz w:val="24"/>
        </w:rPr>
        <w:t>；</w:t>
      </w:r>
    </w:p>
    <w:p>
      <w:pPr>
        <w:widowControl/>
        <w:numPr>
          <w:ilvl w:val="0"/>
          <w:numId w:val="2"/>
        </w:numPr>
        <w:rPr>
          <w:rFonts w:ascii="Verdana" w:hAnsi="Verdana" w:cs="宋体"/>
          <w:color w:val="000000"/>
          <w:kern w:val="0"/>
          <w:sz w:val="24"/>
        </w:rPr>
      </w:pPr>
      <w:r>
        <w:rPr>
          <w:rFonts w:ascii="Verdana" w:hAnsi="Verdana" w:cs="宋体"/>
          <w:color w:val="000000"/>
          <w:kern w:val="0"/>
          <w:sz w:val="24"/>
        </w:rPr>
        <w:t>最高工作压力0.8MPa；</w:t>
      </w:r>
    </w:p>
    <w:p>
      <w:pPr>
        <w:widowControl/>
        <w:numPr>
          <w:ilvl w:val="0"/>
          <w:numId w:val="2"/>
        </w:numPr>
        <w:rPr>
          <w:rFonts w:ascii="Verdana" w:hAnsi="Verdana" w:cs="宋体"/>
          <w:color w:val="000000"/>
          <w:kern w:val="0"/>
          <w:sz w:val="24"/>
        </w:rPr>
      </w:pPr>
      <w:r>
        <w:rPr>
          <w:rFonts w:ascii="Verdana" w:hAnsi="Verdana" w:cs="宋体"/>
          <w:color w:val="000000"/>
          <w:kern w:val="0"/>
          <w:sz w:val="24"/>
        </w:rPr>
        <w:t>滤芯清洗压降0.15MPa；</w:t>
      </w:r>
    </w:p>
    <w:p>
      <w:pPr>
        <w:widowControl/>
        <w:numPr>
          <w:ilvl w:val="0"/>
          <w:numId w:val="2"/>
        </w:numPr>
        <w:rPr>
          <w:rFonts w:ascii="Verdana" w:hAnsi="Verdana" w:cs="宋体"/>
          <w:color w:val="000000"/>
          <w:kern w:val="0"/>
          <w:sz w:val="24"/>
        </w:rPr>
      </w:pPr>
      <w:r>
        <w:rPr>
          <w:rFonts w:ascii="Verdana" w:hAnsi="Verdana" w:cs="宋体"/>
          <w:color w:val="000000"/>
          <w:kern w:val="0"/>
          <w:sz w:val="24"/>
        </w:rPr>
        <w:t xml:space="preserve">试验介质粘度为24cSt的清洁油液，当以额定流量通过油滤器时原始压降不大于0.08MPa（过滤精度0.04mm）。 </w:t>
      </w:r>
    </w:p>
    <w:p>
      <w:pPr>
        <w:rPr>
          <w:rFonts w:eastAsia="宋体"/>
        </w:rPr>
      </w:pPr>
    </w:p>
    <w:p>
      <w:pPr>
        <w:numPr>
          <w:ilvl w:val="0"/>
          <w:numId w:val="3"/>
        </w:numPr>
        <w:rPr>
          <w:b/>
          <w:bCs/>
          <w:sz w:val="28"/>
          <w:szCs w:val="28"/>
        </w:rPr>
      </w:pPr>
      <w:r>
        <w:rPr>
          <w:rFonts w:hint="eastAsia"/>
          <w:b/>
          <w:bCs/>
          <w:sz w:val="28"/>
          <w:szCs w:val="28"/>
        </w:rPr>
        <w:t>外形尺寸</w:t>
      </w:r>
    </w:p>
    <w:p>
      <w:pPr>
        <w:jc w:val="center"/>
        <w:rPr>
          <w:rFonts w:ascii="宋体" w:hAnsi="宋体" w:cs="宋体"/>
          <w:color w:val="000000"/>
          <w:kern w:val="0"/>
          <w:sz w:val="24"/>
        </w:rPr>
      </w:pPr>
      <w:r>
        <w:rPr>
          <w:rFonts w:ascii="宋体" w:hAnsi="宋体" w:cs="宋体"/>
          <w:color w:val="000000"/>
          <w:kern w:val="0"/>
          <w:sz w:val="24"/>
        </w:rPr>
        <w:drawing>
          <wp:inline distT="0" distB="0" distL="0" distR="0">
            <wp:extent cx="5920740" cy="3818255"/>
            <wp:effectExtent l="0" t="0" r="3810" b="10795"/>
            <wp:docPr id="2" name="图片 1" descr="C:\Users\Administrator\Desktop\所有资料\所有资料\产品\SPL-40\15-4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strator\Desktop\所有资料\所有资料\产品\SPL-40\15-40.bmp"/>
                    <pic:cNvPicPr>
                      <a:picLocks noChangeAspect="1" noChangeArrowheads="1"/>
                    </pic:cNvPicPr>
                  </pic:nvPicPr>
                  <pic:blipFill>
                    <a:blip r:embed="rId7"/>
                    <a:srcRect/>
                    <a:stretch>
                      <a:fillRect/>
                    </a:stretch>
                  </pic:blipFill>
                  <pic:spPr>
                    <a:xfrm>
                      <a:off x="0" y="0"/>
                      <a:ext cx="5920740" cy="3818255"/>
                    </a:xfrm>
                    <a:prstGeom prst="rect">
                      <a:avLst/>
                    </a:prstGeom>
                    <a:noFill/>
                    <a:ln w="9525">
                      <a:noFill/>
                      <a:miter lim="800000"/>
                      <a:headEnd/>
                      <a:tailEnd/>
                    </a:ln>
                  </pic:spPr>
                </pic:pic>
              </a:graphicData>
            </a:graphic>
          </wp:inline>
        </w:drawing>
      </w:r>
      <w:r>
        <w:rPr>
          <w:rFonts w:ascii="宋体" w:hAnsi="宋体" w:cs="宋体"/>
          <w:color w:val="000000"/>
          <w:kern w:val="0"/>
          <w:sz w:val="24"/>
        </w:rPr>
        <w:drawing>
          <wp:inline distT="0" distB="0" distL="0" distR="0">
            <wp:extent cx="6188710" cy="3938270"/>
            <wp:effectExtent l="0" t="0" r="2540" b="5080"/>
            <wp:docPr id="3" name="图片 2" descr="C:\Users\Administrator\Desktop\所有资料\所有资料\产品\SPL-50\50-8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strator\Desktop\所有资料\所有资料\产品\SPL-50\50-80.bmp"/>
                    <pic:cNvPicPr>
                      <a:picLocks noChangeAspect="1" noChangeArrowheads="1"/>
                    </pic:cNvPicPr>
                  </pic:nvPicPr>
                  <pic:blipFill>
                    <a:blip r:embed="rId8"/>
                    <a:srcRect/>
                    <a:stretch>
                      <a:fillRect/>
                    </a:stretch>
                  </pic:blipFill>
                  <pic:spPr>
                    <a:xfrm>
                      <a:off x="0" y="0"/>
                      <a:ext cx="6188710" cy="3938270"/>
                    </a:xfrm>
                    <a:prstGeom prst="rect">
                      <a:avLst/>
                    </a:prstGeom>
                    <a:noFill/>
                    <a:ln w="9525">
                      <a:noFill/>
                      <a:miter lim="800000"/>
                      <a:headEnd/>
                      <a:tailEnd/>
                    </a:ln>
                  </pic:spPr>
                </pic:pic>
              </a:graphicData>
            </a:graphic>
          </wp:inline>
        </w:drawing>
      </w:r>
      <w:r>
        <w:rPr>
          <w:rFonts w:ascii="宋体" w:hAnsi="宋体" w:cs="宋体"/>
          <w:color w:val="000000"/>
          <w:kern w:val="0"/>
          <w:sz w:val="24"/>
        </w:rPr>
        <w:drawing>
          <wp:inline distT="0" distB="0" distL="0" distR="0">
            <wp:extent cx="6124575" cy="3428365"/>
            <wp:effectExtent l="0" t="0" r="9525" b="635"/>
            <wp:docPr id="5" name="图片 3" descr="C:\Users\Administrator\Desktop\所有资料\所有资料\产品\SPL-100\100-125外形尺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C:\Users\Administrator\Desktop\所有资料\所有资料\产品\SPL-100\100-125外形尺寸.bmp"/>
                    <pic:cNvPicPr>
                      <a:picLocks noChangeAspect="1" noChangeArrowheads="1"/>
                    </pic:cNvPicPr>
                  </pic:nvPicPr>
                  <pic:blipFill>
                    <a:blip r:embed="rId9"/>
                    <a:srcRect/>
                    <a:stretch>
                      <a:fillRect/>
                    </a:stretch>
                  </pic:blipFill>
                  <pic:spPr>
                    <a:xfrm>
                      <a:off x="0" y="0"/>
                      <a:ext cx="6124575" cy="3428365"/>
                    </a:xfrm>
                    <a:prstGeom prst="rect">
                      <a:avLst/>
                    </a:prstGeom>
                    <a:noFill/>
                    <a:ln w="9525">
                      <a:noFill/>
                      <a:miter lim="800000"/>
                      <a:headEnd/>
                      <a:tailEnd/>
                    </a:ln>
                  </pic:spPr>
                </pic:pic>
              </a:graphicData>
            </a:graphic>
          </wp:inline>
        </w:drawing>
      </w:r>
    </w:p>
    <w:p>
      <w:pPr>
        <w:rPr>
          <w:rFonts w:ascii="宋体" w:hAnsi="宋体" w:eastAsia="宋体" w:cs="宋体"/>
          <w:b/>
          <w:bCs/>
          <w:kern w:val="0"/>
          <w:sz w:val="24"/>
        </w:rPr>
      </w:pPr>
      <w:r>
        <w:rPr>
          <w:rFonts w:hint="eastAsia" w:ascii="宋体" w:hAnsi="宋体" w:eastAsia="宋体" w:cs="宋体"/>
          <w:b/>
          <w:bCs/>
          <w:kern w:val="0"/>
          <w:sz w:val="24"/>
        </w:rPr>
        <w:drawing>
          <wp:inline distT="0" distB="0" distL="114300" distR="114300">
            <wp:extent cx="5686425" cy="3751580"/>
            <wp:effectExtent l="0" t="0" r="9525" b="1270"/>
            <wp:docPr id="4" name="图片 4" descr="150-200外形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0-200外形尺寸"/>
                    <pic:cNvPicPr>
                      <a:picLocks noChangeAspect="1"/>
                    </pic:cNvPicPr>
                  </pic:nvPicPr>
                  <pic:blipFill>
                    <a:blip r:embed="rId10"/>
                    <a:stretch>
                      <a:fillRect/>
                    </a:stretch>
                  </pic:blipFill>
                  <pic:spPr>
                    <a:xfrm>
                      <a:off x="0" y="0"/>
                      <a:ext cx="5686425" cy="3751580"/>
                    </a:xfrm>
                    <a:prstGeom prst="rect">
                      <a:avLst/>
                    </a:prstGeom>
                  </pic:spPr>
                </pic:pic>
              </a:graphicData>
            </a:graphic>
          </wp:inline>
        </w:drawing>
      </w:r>
    </w:p>
    <w:p>
      <w:pPr>
        <w:pStyle w:val="2"/>
        <w:shd w:val="clear" w:color="auto" w:fill="FFFFFF"/>
        <w:wordWrap w:val="0"/>
        <w:spacing w:before="0" w:beforeAutospacing="0" w:after="0" w:afterAutospacing="0" w:line="315" w:lineRule="atLeast"/>
        <w:rPr>
          <w:sz w:val="24"/>
          <w:szCs w:val="24"/>
        </w:rPr>
      </w:pPr>
    </w:p>
    <w:p>
      <w:pPr>
        <w:pStyle w:val="2"/>
        <w:numPr>
          <w:ilvl w:val="0"/>
          <w:numId w:val="3"/>
        </w:numPr>
        <w:shd w:val="clear" w:color="auto" w:fill="FFFFFF"/>
        <w:wordWrap w:val="0"/>
        <w:spacing w:before="0" w:beforeAutospacing="0" w:after="0" w:afterAutospacing="0" w:line="315" w:lineRule="atLeast"/>
        <w:ind w:left="0" w:leftChars="0" w:firstLine="0" w:firstLineChars="0"/>
        <w:rPr>
          <w:rFonts w:hint="eastAsia" w:ascii="黑体" w:hAnsi="Tahoma" w:eastAsia="黑体" w:cs="Tahoma"/>
          <w:sz w:val="28"/>
          <w:szCs w:val="28"/>
        </w:rPr>
      </w:pPr>
      <w:r>
        <w:rPr>
          <w:rFonts w:hint="eastAsia" w:ascii="黑体" w:hAnsi="Tahoma" w:eastAsia="黑体" w:cs="Tahoma"/>
          <w:sz w:val="28"/>
          <w:szCs w:val="28"/>
        </w:rPr>
        <w:t>主要结构</w:t>
      </w:r>
    </w:p>
    <w:p>
      <w:pPr>
        <w:numPr>
          <w:ilvl w:val="0"/>
          <w:numId w:val="0"/>
        </w:numPr>
        <w:ind w:leftChars="0"/>
      </w:pPr>
    </w:p>
    <w:p>
      <w:pPr>
        <w:pStyle w:val="11"/>
        <w:shd w:val="clear" w:color="auto" w:fill="FFFFFF"/>
        <w:wordWrap w:val="0"/>
        <w:spacing w:before="0" w:beforeAutospacing="0" w:after="0" w:afterAutospacing="0" w:line="315" w:lineRule="atLeast"/>
        <w:rPr>
          <w:rFonts w:ascii="Tahoma" w:hAnsi="Tahoma" w:cs="Tahoma"/>
          <w:sz w:val="18"/>
          <w:szCs w:val="18"/>
        </w:rPr>
      </w:pPr>
      <w:r>
        <w:rPr>
          <w:rFonts w:ascii="Tahoma" w:hAnsi="Tahoma" w:cs="Tahoma"/>
        </w:rPr>
        <w:t>双筒网片式油滤器主要由壳体、阀壳、滤芯组件和转换法组件等组成。</w:t>
      </w:r>
    </w:p>
    <w:p>
      <w:pPr>
        <w:pStyle w:val="3"/>
        <w:shd w:val="clear" w:color="auto" w:fill="FFFFFF"/>
        <w:wordWrap w:val="0"/>
        <w:spacing w:before="0" w:beforeAutospacing="0" w:after="0" w:afterAutospacing="0" w:line="315" w:lineRule="atLeast"/>
        <w:rPr>
          <w:rFonts w:ascii="Tahoma" w:hAnsi="Tahoma" w:cs="Tahoma"/>
          <w:b w:val="0"/>
          <w:bCs w:val="0"/>
          <w:sz w:val="18"/>
          <w:szCs w:val="18"/>
        </w:rPr>
      </w:pPr>
      <w:r>
        <w:rPr>
          <w:rFonts w:ascii="Tahoma" w:hAnsi="Tahoma" w:cs="Tahoma"/>
          <w:b w:val="0"/>
          <w:bCs w:val="0"/>
          <w:sz w:val="24"/>
          <w:szCs w:val="24"/>
        </w:rPr>
        <w:t>1</w:t>
      </w:r>
      <w:r>
        <w:rPr>
          <w:rFonts w:hint="eastAsia" w:ascii="Tahoma" w:hAnsi="Tahoma" w:cs="Tahoma"/>
          <w:b w:val="0"/>
          <w:bCs w:val="0"/>
          <w:sz w:val="24"/>
          <w:szCs w:val="24"/>
          <w:lang w:eastAsia="zh-CN"/>
        </w:rPr>
        <w:t>、</w:t>
      </w:r>
      <w:r>
        <w:rPr>
          <w:rFonts w:hint="eastAsia" w:cs="Tahoma"/>
          <w:b w:val="0"/>
          <w:bCs w:val="0"/>
          <w:sz w:val="24"/>
          <w:szCs w:val="24"/>
        </w:rPr>
        <w:t>壳体</w:t>
      </w:r>
    </w:p>
    <w:p>
      <w:pPr>
        <w:pStyle w:val="7"/>
        <w:shd w:val="clear" w:color="auto" w:fill="FFFFFF"/>
        <w:wordWrap w:val="0"/>
        <w:spacing w:before="0" w:beforeAutospacing="0" w:after="0" w:afterAutospacing="0" w:line="315" w:lineRule="atLeast"/>
        <w:rPr>
          <w:rFonts w:ascii="Tahoma" w:hAnsi="Tahoma" w:cs="Tahoma"/>
          <w:sz w:val="18"/>
          <w:szCs w:val="18"/>
        </w:rPr>
      </w:pPr>
      <w:r>
        <w:rPr>
          <w:rFonts w:ascii="Tahoma" w:hAnsi="Tahoma" w:cs="Tahoma"/>
        </w:rPr>
        <w:t>壳体系双筒</w:t>
      </w:r>
      <w:r>
        <w:rPr>
          <w:rFonts w:hint="eastAsia" w:ascii="Tahoma" w:hAnsi="Tahoma" w:cs="Tahoma"/>
        </w:rPr>
        <w:t>铸铁</w:t>
      </w:r>
      <w:r>
        <w:rPr>
          <w:rFonts w:ascii="Tahoma" w:hAnsi="Tahoma" w:cs="Tahoma"/>
        </w:rPr>
        <w:t>结构，具有重量轻、强度高、外形美观的特点。内装滤芯组件，顶部装有放气阀，供排放滤腔内的空气之用。壳体左右工作腔之间装有截止阀（在滤器正常工作时为关闭状态），供阀体切换时平衡两腔压力用。壳体两侧各有排污口，供排放污油用，底部或侧面有四只安装孔，供安装用。</w:t>
      </w:r>
    </w:p>
    <w:p>
      <w:pPr>
        <w:pStyle w:val="3"/>
        <w:shd w:val="clear" w:color="auto" w:fill="FFFFFF"/>
        <w:wordWrap w:val="0"/>
        <w:spacing w:before="0" w:beforeAutospacing="0" w:after="0" w:afterAutospacing="0" w:line="315" w:lineRule="atLeast"/>
        <w:rPr>
          <w:rFonts w:ascii="Tahoma" w:hAnsi="Tahoma" w:cs="Tahoma"/>
          <w:b w:val="0"/>
          <w:bCs w:val="0"/>
          <w:sz w:val="18"/>
          <w:szCs w:val="18"/>
        </w:rPr>
      </w:pPr>
      <w:r>
        <w:rPr>
          <w:rFonts w:ascii="Tahoma" w:hAnsi="Tahoma" w:cs="Tahoma"/>
          <w:b w:val="0"/>
          <w:bCs w:val="0"/>
          <w:sz w:val="24"/>
          <w:szCs w:val="24"/>
        </w:rPr>
        <w:t>2</w:t>
      </w:r>
      <w:r>
        <w:rPr>
          <w:rFonts w:hint="eastAsia" w:ascii="Tahoma" w:hAnsi="Tahoma" w:cs="Tahoma"/>
          <w:b w:val="0"/>
          <w:bCs w:val="0"/>
          <w:sz w:val="24"/>
          <w:szCs w:val="24"/>
          <w:lang w:eastAsia="zh-CN"/>
        </w:rPr>
        <w:t>、</w:t>
      </w:r>
      <w:r>
        <w:rPr>
          <w:rFonts w:hint="eastAsia" w:cs="Tahoma"/>
          <w:b w:val="0"/>
          <w:bCs w:val="0"/>
          <w:sz w:val="24"/>
          <w:szCs w:val="24"/>
        </w:rPr>
        <w:t>阀壳</w:t>
      </w:r>
    </w:p>
    <w:p>
      <w:pPr>
        <w:pStyle w:val="11"/>
        <w:shd w:val="clear" w:color="auto" w:fill="FFFFFF"/>
        <w:wordWrap w:val="0"/>
        <w:spacing w:before="0" w:beforeAutospacing="0" w:after="0" w:afterAutospacing="0" w:line="315" w:lineRule="atLeast"/>
        <w:rPr>
          <w:rFonts w:ascii="Tahoma" w:hAnsi="Tahoma" w:cs="Tahoma"/>
          <w:sz w:val="18"/>
          <w:szCs w:val="18"/>
        </w:rPr>
      </w:pPr>
      <w:r>
        <w:rPr>
          <w:rFonts w:ascii="Tahoma" w:hAnsi="Tahoma" w:cs="Tahoma"/>
        </w:rPr>
        <w:t>阀壳和壳体相连，内装转换组件。阀盖上铸有“左开”、“右开”字样及箭头，以标志转换阀的位置。阀壳两侧各有进出油口法兰，并铸有“出口”、“入口”字样，供用户接管。</w:t>
      </w:r>
    </w:p>
    <w:p>
      <w:pPr>
        <w:pStyle w:val="3"/>
        <w:shd w:val="clear" w:color="auto" w:fill="FFFFFF"/>
        <w:wordWrap w:val="0"/>
        <w:spacing w:before="0" w:beforeAutospacing="0" w:after="0" w:afterAutospacing="0" w:line="315" w:lineRule="atLeast"/>
        <w:rPr>
          <w:rFonts w:ascii="Tahoma" w:hAnsi="Tahoma" w:cs="Tahoma"/>
          <w:b w:val="0"/>
          <w:bCs w:val="0"/>
          <w:sz w:val="18"/>
          <w:szCs w:val="18"/>
        </w:rPr>
      </w:pPr>
      <w:r>
        <w:rPr>
          <w:rFonts w:ascii="Tahoma" w:hAnsi="Tahoma" w:cs="Tahoma"/>
          <w:b w:val="0"/>
          <w:bCs w:val="0"/>
          <w:sz w:val="24"/>
          <w:szCs w:val="24"/>
        </w:rPr>
        <w:t>3</w:t>
      </w:r>
      <w:r>
        <w:rPr>
          <w:rFonts w:hint="eastAsia" w:ascii="Tahoma" w:hAnsi="Tahoma" w:cs="Tahoma"/>
          <w:b w:val="0"/>
          <w:bCs w:val="0"/>
          <w:sz w:val="24"/>
          <w:szCs w:val="24"/>
          <w:lang w:eastAsia="zh-CN"/>
        </w:rPr>
        <w:t>、</w:t>
      </w:r>
      <w:r>
        <w:rPr>
          <w:rFonts w:hint="eastAsia" w:cs="Tahoma"/>
          <w:b w:val="0"/>
          <w:bCs w:val="0"/>
          <w:sz w:val="24"/>
          <w:szCs w:val="24"/>
        </w:rPr>
        <w:t>滤芯组件</w:t>
      </w:r>
    </w:p>
    <w:p>
      <w:pPr>
        <w:pStyle w:val="11"/>
        <w:shd w:val="clear" w:color="auto" w:fill="FFFFFF"/>
        <w:wordWrap w:val="0"/>
        <w:spacing w:before="0" w:beforeAutospacing="0" w:after="0" w:afterAutospacing="0" w:line="315" w:lineRule="atLeast"/>
        <w:rPr>
          <w:rFonts w:ascii="Tahoma" w:hAnsi="Tahoma" w:cs="Tahoma"/>
          <w:sz w:val="18"/>
          <w:szCs w:val="18"/>
        </w:rPr>
      </w:pPr>
      <w:r>
        <w:rPr>
          <w:rFonts w:ascii="Tahoma" w:hAnsi="Tahoma" w:cs="Tahoma"/>
        </w:rPr>
        <w:t>滤芯组件主要有滤芯盖、滤芯套筒、滤片与垫片相隔套在滤芯套筒上，由衬套、弹簧、弹簧座、圆螺母等压紧固定。</w:t>
      </w:r>
    </w:p>
    <w:p>
      <w:pPr>
        <w:pStyle w:val="6"/>
        <w:bidi w:val="0"/>
        <w:rPr>
          <w:rFonts w:ascii="Tahoma" w:hAnsi="Tahoma" w:cs="Tahoma"/>
          <w:b w:val="0"/>
          <w:bCs w:val="0"/>
          <w:sz w:val="18"/>
          <w:szCs w:val="18"/>
        </w:rPr>
      </w:pPr>
      <w:r>
        <w:rPr>
          <w:rFonts w:ascii="Tahoma" w:hAnsi="Tahoma" w:cs="Tahoma"/>
          <w:b w:val="0"/>
          <w:bCs w:val="0"/>
          <w:sz w:val="24"/>
          <w:szCs w:val="24"/>
        </w:rPr>
        <w:t>4</w:t>
      </w:r>
      <w:r>
        <w:rPr>
          <w:rFonts w:hint="eastAsia" w:ascii="Tahoma" w:hAnsi="Tahoma" w:cs="Tahoma"/>
          <w:b w:val="0"/>
          <w:bCs w:val="0"/>
          <w:sz w:val="24"/>
          <w:szCs w:val="24"/>
          <w:lang w:eastAsia="zh-CN"/>
        </w:rPr>
        <w:t>、</w:t>
      </w:r>
      <w:r>
        <w:rPr>
          <w:rFonts w:hint="eastAsia" w:cs="Tahoma"/>
          <w:b w:val="0"/>
          <w:bCs w:val="0"/>
          <w:sz w:val="24"/>
          <w:szCs w:val="24"/>
        </w:rPr>
        <w:t>转换阀组</w:t>
      </w:r>
    </w:p>
    <w:p>
      <w:pPr>
        <w:pStyle w:val="11"/>
        <w:shd w:val="clear" w:color="auto" w:fill="FFFFFF"/>
        <w:wordWrap w:val="0"/>
        <w:spacing w:before="0" w:beforeAutospacing="0" w:after="0" w:afterAutospacing="0" w:line="315" w:lineRule="atLeast"/>
        <w:rPr>
          <w:rFonts w:ascii="Tahoma" w:hAnsi="Tahoma" w:cs="Tahoma"/>
        </w:rPr>
      </w:pPr>
      <w:r>
        <w:rPr>
          <w:rFonts w:ascii="Tahoma" w:hAnsi="Tahoma" w:cs="Tahoma"/>
        </w:rPr>
        <w:t>转换阀组件主要由锥阀、转换手柄等组成，转动锥阀能改变油的通路，转换油滤机的工作腔。</w:t>
      </w:r>
    </w:p>
    <w:p>
      <w:pPr>
        <w:pStyle w:val="11"/>
        <w:shd w:val="clear" w:color="auto" w:fill="FFFFFF"/>
        <w:wordWrap w:val="0"/>
        <w:spacing w:before="0" w:beforeAutospacing="0" w:after="0" w:afterAutospacing="0" w:line="315" w:lineRule="atLeast"/>
        <w:ind w:firstLine="420"/>
        <w:rPr>
          <w:rFonts w:ascii="Tahoma" w:hAnsi="Tahoma" w:cs="Tahoma"/>
        </w:rPr>
      </w:pPr>
    </w:p>
    <w:p>
      <w:pPr>
        <w:pStyle w:val="2"/>
        <w:numPr>
          <w:ilvl w:val="0"/>
          <w:numId w:val="3"/>
        </w:numPr>
        <w:shd w:val="clear" w:color="auto" w:fill="FFFFFF"/>
        <w:wordWrap w:val="0"/>
        <w:spacing w:before="0" w:beforeAutospacing="0" w:after="0" w:afterAutospacing="0" w:line="315" w:lineRule="atLeast"/>
        <w:ind w:left="0" w:leftChars="0" w:firstLine="0" w:firstLineChars="0"/>
        <w:rPr>
          <w:rFonts w:hint="eastAsia" w:asciiTheme="majorEastAsia" w:hAnsiTheme="majorEastAsia" w:eastAsiaTheme="majorEastAsia" w:cstheme="majorEastAsia"/>
          <w:b/>
          <w:bCs/>
          <w:sz w:val="28"/>
          <w:szCs w:val="28"/>
          <w:lang w:eastAsia="zh-CN"/>
        </w:rPr>
      </w:pPr>
      <w:r>
        <w:rPr>
          <w:rFonts w:hint="eastAsia" w:asciiTheme="majorEastAsia" w:hAnsiTheme="majorEastAsia" w:eastAsiaTheme="majorEastAsia" w:cstheme="majorEastAsia"/>
          <w:b/>
          <w:bCs/>
          <w:sz w:val="28"/>
          <w:szCs w:val="28"/>
        </w:rPr>
        <w:t>工作原理</w:t>
      </w:r>
    </w:p>
    <w:p>
      <w:pPr>
        <w:rPr>
          <w:rFonts w:hint="eastAsia"/>
          <w:lang w:eastAsia="zh-CN"/>
        </w:rPr>
      </w:pPr>
    </w:p>
    <w:p>
      <w:pPr>
        <w:pStyle w:val="11"/>
        <w:shd w:val="clear" w:color="auto" w:fill="FFFFFF"/>
        <w:wordWrap w:val="0"/>
        <w:spacing w:before="0" w:beforeAutospacing="0" w:after="0" w:afterAutospacing="0" w:line="315" w:lineRule="atLeast"/>
        <w:rPr>
          <w:rFonts w:ascii="Tahoma" w:hAnsi="Tahoma" w:cs="Tahoma"/>
        </w:rPr>
      </w:pPr>
      <w:r>
        <w:rPr>
          <w:rFonts w:ascii="Tahoma" w:hAnsi="Tahoma" w:cs="Tahoma"/>
        </w:rPr>
        <w:t>双筒网片油滤器有两个滤芯腔，一个工作，另一个备用。压力油从阀壳下方进油口进入，经转化阀的下油道，进入壳体的滤芯腔，经滤片过滤后的清洁压力油，经壳体上腔和转换阀的上油道，从阀壳上方出油口流出，进入柴油机供油系统。当油滤器压降升高到规定值时，可通过转换阀转换到另一滤芯腔工作，对原工作腔进行清洗、保养。</w:t>
      </w:r>
    </w:p>
    <w:p>
      <w:pPr>
        <w:pStyle w:val="11"/>
        <w:shd w:val="clear" w:color="auto" w:fill="FFFFFF"/>
        <w:wordWrap w:val="0"/>
        <w:spacing w:before="0" w:beforeAutospacing="0" w:after="0" w:afterAutospacing="0" w:line="315" w:lineRule="atLeast"/>
        <w:ind w:firstLine="420"/>
        <w:rPr>
          <w:rFonts w:ascii="Tahoma" w:hAnsi="Tahoma" w:cs="Tahoma"/>
        </w:rPr>
      </w:pPr>
    </w:p>
    <w:p>
      <w:pPr>
        <w:pStyle w:val="2"/>
        <w:numPr>
          <w:ilvl w:val="0"/>
          <w:numId w:val="3"/>
        </w:numPr>
        <w:shd w:val="clear" w:color="auto" w:fill="FFFFFF"/>
        <w:wordWrap w:val="0"/>
        <w:spacing w:before="0" w:beforeAutospacing="0" w:after="0" w:afterAutospacing="0" w:line="315" w:lineRule="atLeast"/>
        <w:ind w:left="0" w:leftChars="0" w:firstLine="0" w:firstLineChars="0"/>
        <w:rPr>
          <w:rFonts w:hint="eastAsia" w:ascii="黑体" w:hAnsi="Tahoma" w:eastAsia="黑体" w:cs="Tahoma"/>
          <w:b w:val="0"/>
          <w:bCs w:val="0"/>
          <w:sz w:val="28"/>
          <w:szCs w:val="28"/>
        </w:rPr>
      </w:pPr>
      <w:r>
        <w:rPr>
          <w:rFonts w:hint="eastAsia" w:ascii="黑体" w:hAnsi="Tahoma" w:eastAsia="黑体" w:cs="Tahoma"/>
          <w:b w:val="0"/>
          <w:bCs w:val="0"/>
          <w:sz w:val="28"/>
          <w:szCs w:val="28"/>
        </w:rPr>
        <w:t>安装与使用</w:t>
      </w:r>
    </w:p>
    <w:p>
      <w:pPr>
        <w:numPr>
          <w:ilvl w:val="0"/>
          <w:numId w:val="0"/>
        </w:numPr>
        <w:ind w:leftChars="0"/>
      </w:pPr>
    </w:p>
    <w:p>
      <w:pPr>
        <w:pStyle w:val="3"/>
        <w:shd w:val="clear" w:color="auto" w:fill="FFFFFF"/>
        <w:wordWrap w:val="0"/>
        <w:spacing w:before="0" w:beforeAutospacing="0" w:after="0" w:afterAutospacing="0" w:line="315" w:lineRule="atLeast"/>
        <w:rPr>
          <w:rFonts w:ascii="Tahoma" w:hAnsi="Tahoma" w:cs="Tahoma"/>
          <w:b w:val="0"/>
          <w:bCs w:val="0"/>
          <w:sz w:val="18"/>
          <w:szCs w:val="18"/>
        </w:rPr>
      </w:pPr>
      <w:r>
        <w:rPr>
          <w:rFonts w:ascii="Tahoma" w:hAnsi="Tahoma" w:cs="Tahoma"/>
          <w:b w:val="0"/>
          <w:bCs w:val="0"/>
          <w:sz w:val="24"/>
          <w:szCs w:val="24"/>
        </w:rPr>
        <w:t>1</w:t>
      </w:r>
      <w:r>
        <w:rPr>
          <w:rFonts w:hint="eastAsia" w:ascii="Tahoma" w:hAnsi="Tahoma" w:cs="Tahoma"/>
          <w:b w:val="0"/>
          <w:bCs w:val="0"/>
          <w:sz w:val="24"/>
          <w:szCs w:val="24"/>
          <w:lang w:eastAsia="zh-CN"/>
        </w:rPr>
        <w:t>、</w:t>
      </w:r>
      <w:r>
        <w:rPr>
          <w:rFonts w:hint="eastAsia" w:cs="Tahoma"/>
          <w:b w:val="0"/>
          <w:bCs w:val="0"/>
          <w:sz w:val="24"/>
          <w:szCs w:val="24"/>
        </w:rPr>
        <w:t>外形尺寸及安装尺寸见表</w:t>
      </w:r>
    </w:p>
    <w:p>
      <w:pPr>
        <w:pStyle w:val="3"/>
        <w:shd w:val="clear" w:color="auto" w:fill="FFFFFF"/>
        <w:wordWrap w:val="0"/>
        <w:spacing w:before="0" w:beforeAutospacing="0" w:after="0" w:afterAutospacing="0" w:line="315" w:lineRule="atLeast"/>
        <w:rPr>
          <w:rFonts w:ascii="Tahoma" w:hAnsi="Tahoma" w:cs="Tahoma"/>
          <w:b w:val="0"/>
          <w:bCs w:val="0"/>
          <w:sz w:val="18"/>
          <w:szCs w:val="18"/>
        </w:rPr>
      </w:pPr>
      <w:r>
        <w:rPr>
          <w:rFonts w:ascii="Tahoma" w:hAnsi="Tahoma" w:cs="Tahoma"/>
          <w:b w:val="0"/>
          <w:bCs w:val="0"/>
          <w:sz w:val="24"/>
          <w:szCs w:val="24"/>
        </w:rPr>
        <w:t>2</w:t>
      </w:r>
      <w:r>
        <w:rPr>
          <w:rFonts w:hint="eastAsia" w:ascii="Tahoma" w:hAnsi="Tahoma" w:cs="Tahoma"/>
          <w:b w:val="0"/>
          <w:bCs w:val="0"/>
          <w:sz w:val="24"/>
          <w:szCs w:val="24"/>
          <w:lang w:eastAsia="zh-CN"/>
        </w:rPr>
        <w:t>、</w:t>
      </w:r>
      <w:r>
        <w:rPr>
          <w:rFonts w:hint="eastAsia" w:cs="Tahoma"/>
          <w:b w:val="0"/>
          <w:bCs w:val="0"/>
          <w:sz w:val="24"/>
          <w:szCs w:val="24"/>
        </w:rPr>
        <w:t>进出油口在阀壳两侧，下方是入口，上方是出口，不得误装。用户可按需要任选两只接管，其余两只用盖板盖紧。供接油管用的法兰和盖板都随滤器配有。</w:t>
      </w:r>
    </w:p>
    <w:p>
      <w:pPr>
        <w:pStyle w:val="3"/>
        <w:shd w:val="clear" w:color="auto" w:fill="FFFFFF"/>
        <w:wordWrap w:val="0"/>
        <w:spacing w:before="0" w:beforeAutospacing="0" w:after="0" w:afterAutospacing="0" w:line="315" w:lineRule="atLeast"/>
        <w:rPr>
          <w:rFonts w:ascii="Tahoma" w:hAnsi="Tahoma" w:cs="Tahoma"/>
          <w:b w:val="0"/>
          <w:bCs w:val="0"/>
          <w:sz w:val="18"/>
          <w:szCs w:val="18"/>
        </w:rPr>
      </w:pPr>
      <w:r>
        <w:rPr>
          <w:rFonts w:ascii="Tahoma" w:hAnsi="Tahoma" w:cs="Tahoma"/>
          <w:b w:val="0"/>
          <w:bCs w:val="0"/>
          <w:sz w:val="24"/>
          <w:szCs w:val="24"/>
        </w:rPr>
        <w:t>3</w:t>
      </w:r>
      <w:r>
        <w:rPr>
          <w:rFonts w:hint="eastAsia" w:ascii="Tahoma" w:hAnsi="Tahoma" w:cs="Tahoma"/>
          <w:b w:val="0"/>
          <w:bCs w:val="0"/>
          <w:sz w:val="24"/>
          <w:szCs w:val="24"/>
          <w:lang w:eastAsia="zh-CN"/>
        </w:rPr>
        <w:t>、</w:t>
      </w:r>
      <w:r>
        <w:rPr>
          <w:rFonts w:hint="eastAsia" w:cs="Tahoma"/>
          <w:b w:val="0"/>
          <w:bCs w:val="0"/>
          <w:sz w:val="24"/>
          <w:szCs w:val="24"/>
        </w:rPr>
        <w:t>转换手柄或锥阀轴端刻线应对准阀盖上所示的“左开”或“右开”的极限位置，以保证油路通畅。</w:t>
      </w:r>
    </w:p>
    <w:p>
      <w:pPr>
        <w:pStyle w:val="3"/>
        <w:shd w:val="clear" w:color="auto" w:fill="FFFFFF"/>
        <w:wordWrap w:val="0"/>
        <w:spacing w:before="0" w:beforeAutospacing="0" w:after="0" w:afterAutospacing="0" w:line="315" w:lineRule="atLeast"/>
        <w:rPr>
          <w:rFonts w:ascii="Tahoma" w:hAnsi="Tahoma" w:cs="Tahoma"/>
          <w:b w:val="0"/>
          <w:bCs w:val="0"/>
          <w:sz w:val="18"/>
          <w:szCs w:val="18"/>
        </w:rPr>
      </w:pPr>
      <w:r>
        <w:rPr>
          <w:rFonts w:ascii="Tahoma" w:hAnsi="Tahoma" w:cs="Tahoma"/>
          <w:b w:val="0"/>
          <w:bCs w:val="0"/>
          <w:sz w:val="24"/>
          <w:szCs w:val="24"/>
        </w:rPr>
        <w:t>4</w:t>
      </w:r>
      <w:r>
        <w:rPr>
          <w:rFonts w:hint="eastAsia" w:ascii="Tahoma" w:hAnsi="Tahoma" w:cs="Tahoma"/>
          <w:b w:val="0"/>
          <w:bCs w:val="0"/>
          <w:sz w:val="24"/>
          <w:szCs w:val="24"/>
          <w:lang w:eastAsia="zh-CN"/>
        </w:rPr>
        <w:t>、</w:t>
      </w:r>
      <w:r>
        <w:rPr>
          <w:rFonts w:hint="eastAsia" w:cs="Tahoma"/>
          <w:b w:val="0"/>
          <w:bCs w:val="0"/>
          <w:sz w:val="24"/>
          <w:szCs w:val="24"/>
        </w:rPr>
        <w:t>油滤器开始通油时，应开启放气阀，等油液充满滤芯腔，排近空气后应关闭放气阀，以免油液外溢。</w:t>
      </w:r>
    </w:p>
    <w:p>
      <w:pPr>
        <w:pStyle w:val="7"/>
        <w:shd w:val="clear" w:color="auto" w:fill="FFFFFF"/>
        <w:wordWrap w:val="0"/>
        <w:spacing w:before="0" w:beforeAutospacing="0" w:after="0" w:afterAutospacing="0" w:line="315" w:lineRule="atLeast"/>
        <w:rPr>
          <w:rFonts w:ascii="Tahoma" w:hAnsi="Tahoma" w:cs="Tahoma"/>
          <w:sz w:val="18"/>
          <w:szCs w:val="18"/>
        </w:rPr>
      </w:pPr>
      <w:r>
        <w:rPr>
          <w:rFonts w:ascii="Tahoma" w:hAnsi="Tahoma" w:cs="Tahoma"/>
        </w:rPr>
        <w:t>5</w:t>
      </w:r>
      <w:r>
        <w:rPr>
          <w:rFonts w:hint="eastAsia" w:ascii="Tahoma" w:hAnsi="Tahoma" w:cs="Tahoma"/>
          <w:lang w:eastAsia="zh-CN"/>
        </w:rPr>
        <w:t>、</w:t>
      </w:r>
      <w:r>
        <w:rPr>
          <w:rFonts w:hint="eastAsia" w:cs="Tahoma"/>
        </w:rPr>
        <w:t>在柴油机运转过程中，油滤器的压差超过规定值时或在系统运转中拆洗滤芯组件时，必须转换工作腔。转换过程要连续、迅速，严禁中途停留。逆时针转动提升手柄，是锥阀上移，当有松动感时，再将提升手柄反向转动</w:t>
      </w:r>
      <w:r>
        <w:rPr>
          <w:rFonts w:ascii="Tahoma" w:hAnsi="Tahoma" w:cs="Tahoma"/>
        </w:rPr>
        <w:t>45</w:t>
      </w:r>
      <w:r>
        <w:rPr>
          <w:rFonts w:hint="eastAsia" w:cs="Tahoma"/>
        </w:rPr>
        <w:t>°左右。即可转动转换手柄</w:t>
      </w:r>
      <w:r>
        <w:rPr>
          <w:rFonts w:ascii="Tahoma" w:hAnsi="Tahoma" w:cs="Tahoma"/>
        </w:rPr>
        <w:t>120</w:t>
      </w:r>
      <w:r>
        <w:rPr>
          <w:rFonts w:hint="eastAsia" w:cs="Tahoma"/>
        </w:rPr>
        <w:t>°至阀盖上“右开”或“左开”的极限位置，再顺时针转动提升手柄，将锥阀压下。</w:t>
      </w:r>
    </w:p>
    <w:p>
      <w:pPr>
        <w:rPr>
          <w:rFonts w:ascii="宋体" w:hAnsi="宋体" w:eastAsia="宋体" w:cs="宋体"/>
          <w:kern w:val="0"/>
          <w:sz w:val="24"/>
        </w:rPr>
      </w:pPr>
    </w:p>
    <w:p>
      <w:pPr>
        <w:numPr>
          <w:ilvl w:val="0"/>
          <w:numId w:val="3"/>
        </w:numPr>
        <w:ind w:left="0" w:leftChars="0" w:firstLine="0" w:firstLineChars="0"/>
        <w:rPr>
          <w:rFonts w:hint="eastAsia" w:ascii="宋体" w:hAnsi="宋体" w:eastAsia="宋体" w:cs="宋体"/>
          <w:b/>
          <w:bCs/>
          <w:kern w:val="0"/>
          <w:sz w:val="28"/>
          <w:szCs w:val="28"/>
          <w:lang w:val="en-US" w:eastAsia="zh-CN"/>
        </w:rPr>
      </w:pPr>
      <w:r>
        <w:rPr>
          <w:rFonts w:hint="eastAsia" w:ascii="宋体" w:hAnsi="宋体" w:eastAsia="宋体" w:cs="宋体"/>
          <w:b/>
          <w:bCs/>
          <w:kern w:val="0"/>
          <w:sz w:val="28"/>
          <w:szCs w:val="28"/>
          <w:lang w:val="en-US" w:eastAsia="zh-CN"/>
        </w:rPr>
        <w:t>售后服务</w:t>
      </w:r>
    </w:p>
    <w:p>
      <w:pPr>
        <w:numPr>
          <w:ilvl w:val="0"/>
          <w:numId w:val="0"/>
        </w:numPr>
        <w:ind w:leftChars="0"/>
        <w:rPr>
          <w:rFonts w:hint="default" w:ascii="宋体" w:hAnsi="宋体" w:eastAsia="宋体" w:cs="宋体"/>
          <w:kern w:val="0"/>
          <w:sz w:val="24"/>
          <w:lang w:val="en-US" w:eastAsia="zh-CN"/>
        </w:rPr>
      </w:pPr>
    </w:p>
    <w:p>
      <w:pPr>
        <w:numPr>
          <w:ilvl w:val="0"/>
          <w:numId w:val="4"/>
        </w:numPr>
        <w:ind w:leftChars="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包退：燃油出现严重质量问题或产品型号错误，用户可退货并由供方承担一切费用。</w:t>
      </w:r>
    </w:p>
    <w:p>
      <w:pPr>
        <w:numPr>
          <w:ilvl w:val="0"/>
          <w:numId w:val="4"/>
        </w:numPr>
        <w:ind w:leftChars="0"/>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包修：在质保期间或安装调试中出现小的零部件问题，本公司免费提供维修服务。</w:t>
      </w:r>
    </w:p>
    <w:p>
      <w:pPr>
        <w:numPr>
          <w:ilvl w:val="0"/>
          <w:numId w:val="0"/>
        </w:numPr>
        <w:rPr>
          <w:b/>
          <w:spacing w:val="200"/>
          <w:sz w:val="24"/>
        </w:rPr>
      </w:pPr>
      <w:r>
        <w:rPr>
          <w:rFonts w:hint="eastAsia" w:ascii="宋体" w:hAnsi="宋体" w:eastAsia="宋体" w:cs="宋体"/>
          <w:kern w:val="0"/>
          <w:sz w:val="24"/>
          <w:lang w:val="en-US" w:eastAsia="zh-CN"/>
        </w:rPr>
        <w:t>3、如在质保期内出现较大质量问题，公司将免费提供更换。</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jc w:val="center"/>
      <w:rPr>
        <w:rFonts w:hint="eastAsia"/>
        <w:sz w:val="24"/>
        <w:szCs w:val="24"/>
        <w:lang w:val="en-US" w:eastAsia="zh-CN"/>
      </w:rPr>
    </w:pPr>
    <w:r>
      <w:rPr>
        <w:rFonts w:hint="eastAsia"/>
        <w:sz w:val="24"/>
        <w:szCs w:val="24"/>
        <w:lang w:val="en-US" w:eastAsia="zh-CN"/>
      </w:rPr>
      <w:t>技术及业务咨询：0373-2696695 欢迎咨询或来访</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eastAsiaTheme="minorEastAsia"/>
        <w:color w:val="FF0000"/>
        <w:lang w:val="en-US" w:eastAsia="zh-CN"/>
      </w:rPr>
    </w:pPr>
    <w:r>
      <w:rPr>
        <w:rFonts w:hint="eastAsia"/>
        <w:color w:val="FF0000"/>
        <w:sz w:val="32"/>
        <w:szCs w:val="32"/>
        <w:lang w:val="en-US" w:eastAsia="zh-CN"/>
      </w:rPr>
      <w:drawing>
        <wp:anchor distT="0" distB="0" distL="114300" distR="114300" simplePos="0" relativeHeight="251658240" behindDoc="0" locked="0" layoutInCell="1" allowOverlap="1">
          <wp:simplePos x="0" y="0"/>
          <wp:positionH relativeFrom="column">
            <wp:posOffset>957580</wp:posOffset>
          </wp:positionH>
          <wp:positionV relativeFrom="paragraph">
            <wp:posOffset>-64770</wp:posOffset>
          </wp:positionV>
          <wp:extent cx="355600" cy="304165"/>
          <wp:effectExtent l="0" t="0" r="6350" b="635"/>
          <wp:wrapNone/>
          <wp:docPr id="7" name="图片 7" desc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00"/>
                  <pic:cNvPicPr>
                    <a:picLocks noChangeAspect="1"/>
                  </pic:cNvPicPr>
                </pic:nvPicPr>
                <pic:blipFill>
                  <a:blip r:embed="rId1"/>
                  <a:stretch>
                    <a:fillRect/>
                  </a:stretch>
                </pic:blipFill>
                <pic:spPr>
                  <a:xfrm>
                    <a:off x="0" y="0"/>
                    <a:ext cx="355600" cy="304165"/>
                  </a:xfrm>
                  <a:prstGeom prst="rect">
                    <a:avLst/>
                  </a:prstGeom>
                </pic:spPr>
              </pic:pic>
            </a:graphicData>
          </a:graphic>
        </wp:anchor>
      </w:drawing>
    </w:r>
    <w:r>
      <w:rPr>
        <w:sz w:val="32"/>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74310"/>
          <wp:effectExtent l="0" t="0" r="0" b="0"/>
          <wp:wrapNone/>
          <wp:docPr id="6" name="WordPictureWatermark42275" descr="下载文件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42275" descr="下载文件水印"/>
                  <pic:cNvPicPr>
                    <a:picLocks noChangeAspect="1"/>
                  </pic:cNvPicPr>
                </pic:nvPicPr>
                <pic:blipFill>
                  <a:blip r:embed="rId2">
                    <a:lum bright="70000" contrast="-70000"/>
                  </a:blip>
                  <a:stretch>
                    <a:fillRect/>
                  </a:stretch>
                </pic:blipFill>
                <pic:spPr>
                  <a:xfrm>
                    <a:off x="0" y="0"/>
                    <a:ext cx="5274310" cy="5274310"/>
                  </a:xfrm>
                  <a:prstGeom prst="rect">
                    <a:avLst/>
                  </a:prstGeom>
                </pic:spPr>
              </pic:pic>
            </a:graphicData>
          </a:graphic>
        </wp:anchor>
      </w:drawing>
    </w:r>
    <w:r>
      <w:rPr>
        <w:rFonts w:hint="eastAsia"/>
        <w:color w:val="FF0000"/>
        <w:sz w:val="32"/>
        <w:szCs w:val="32"/>
        <w:lang w:val="en-US" w:eastAsia="zh-CN"/>
      </w:rPr>
      <w:t>新乡市华豫滤器有限公司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40A4D"/>
    <w:multiLevelType w:val="singleLevel"/>
    <w:tmpl w:val="8FC40A4D"/>
    <w:lvl w:ilvl="0" w:tentative="0">
      <w:start w:val="1"/>
      <w:numFmt w:val="decimal"/>
      <w:suff w:val="nothing"/>
      <w:lvlText w:val="%1、"/>
      <w:lvlJc w:val="left"/>
    </w:lvl>
  </w:abstractNum>
  <w:abstractNum w:abstractNumId="1">
    <w:nsid w:val="D0D80150"/>
    <w:multiLevelType w:val="singleLevel"/>
    <w:tmpl w:val="D0D80150"/>
    <w:lvl w:ilvl="0" w:tentative="0">
      <w:start w:val="1"/>
      <w:numFmt w:val="chineseCounting"/>
      <w:suff w:val="nothing"/>
      <w:lvlText w:val="%1、"/>
      <w:lvlJc w:val="left"/>
      <w:rPr>
        <w:rFonts w:hint="eastAsia"/>
      </w:rPr>
    </w:lvl>
  </w:abstractNum>
  <w:abstractNum w:abstractNumId="2">
    <w:nsid w:val="57328432"/>
    <w:multiLevelType w:val="singleLevel"/>
    <w:tmpl w:val="57328432"/>
    <w:lvl w:ilvl="0" w:tentative="0">
      <w:start w:val="1"/>
      <w:numFmt w:val="decimal"/>
      <w:suff w:val="nothing"/>
      <w:lvlText w:val="%1、"/>
      <w:lvlJc w:val="left"/>
    </w:lvl>
  </w:abstractNum>
  <w:abstractNum w:abstractNumId="3">
    <w:nsid w:val="5732848C"/>
    <w:multiLevelType w:val="singleLevel"/>
    <w:tmpl w:val="5732848C"/>
    <w:lvl w:ilvl="0" w:tentative="0">
      <w:start w:val="2"/>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1E77F25"/>
    <w:rsid w:val="00907AAA"/>
    <w:rsid w:val="00C530A3"/>
    <w:rsid w:val="00CF2BE0"/>
    <w:rsid w:val="00FF776F"/>
    <w:rsid w:val="0ED65D7E"/>
    <w:rsid w:val="1303106A"/>
    <w:rsid w:val="2BDA282C"/>
    <w:rsid w:val="32C92B1A"/>
    <w:rsid w:val="35BF63F4"/>
    <w:rsid w:val="41E77F25"/>
    <w:rsid w:val="461633FA"/>
    <w:rsid w:val="472F48C8"/>
    <w:rsid w:val="5BDA65CF"/>
    <w:rsid w:val="5CE66044"/>
    <w:rsid w:val="6B847952"/>
    <w:rsid w:val="75E74549"/>
    <w:rsid w:val="7F256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1"/>
    <w:next w:val="1"/>
    <w:unhideWhenUsed/>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2"/>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Hyperlink"/>
    <w:basedOn w:val="9"/>
    <w:qFormat/>
    <w:uiPriority w:val="0"/>
    <w:rPr>
      <w:color w:val="0000FF"/>
      <w:u w:val="single"/>
    </w:rPr>
  </w:style>
  <w:style w:type="paragraph" w:customStyle="1" w:styleId="11">
    <w:name w:val="newstyle15"/>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批注框文本 Char"/>
    <w:basedOn w:val="9"/>
    <w:link w:val="4"/>
    <w:uiPriority w:val="0"/>
    <w:rPr>
      <w:kern w:val="2"/>
      <w:sz w:val="18"/>
      <w:szCs w:val="18"/>
    </w:rPr>
  </w:style>
  <w:style w:type="character" w:customStyle="1" w:styleId="13">
    <w:name w:val="页眉 Char"/>
    <w:basedOn w:val="9"/>
    <w:link w:val="6"/>
    <w:qFormat/>
    <w:uiPriority w:val="0"/>
    <w:rPr>
      <w:kern w:val="2"/>
      <w:sz w:val="18"/>
      <w:szCs w:val="18"/>
    </w:rPr>
  </w:style>
  <w:style w:type="character" w:customStyle="1" w:styleId="14">
    <w:name w:val="页脚 Char"/>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222</Words>
  <Characters>1267</Characters>
  <Lines>10</Lines>
  <Paragraphs>2</Paragraphs>
  <TotalTime>34</TotalTime>
  <ScaleCrop>false</ScaleCrop>
  <LinksUpToDate>false</LinksUpToDate>
  <CharactersWithSpaces>1487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2016-05-11T01:43:00Z</dcterms:created>
  <dc:creator>Administrator</dc:creator>
  <cp:lastModifiedBy>一望南水</cp:lastModifiedBy>
  <dcterms:modified xsi:type="dcterms:W3CDTF">2020-09-27T09:40:11Z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